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F14C9" w14:textId="77777777" w:rsidR="006134EB" w:rsidRDefault="006134EB" w:rsidP="006134EB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Property Law: Cases and Commentary</w:t>
      </w:r>
    </w:p>
    <w:p w14:paraId="69C71E71" w14:textId="43A9333E" w:rsidR="006134EB" w:rsidRDefault="006134EB" w:rsidP="002B637D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Author Memo re Errors in the Text</w:t>
      </w:r>
      <w:r w:rsidR="002B637D">
        <w:rPr>
          <w:rFonts w:ascii="Times New Roman" w:hAnsi="Times New Roman" w:cs="Times New Roman"/>
          <w:b/>
          <w:i/>
        </w:rPr>
        <w:t xml:space="preserve"> w</w:t>
      </w:r>
      <w:r>
        <w:rPr>
          <w:rFonts w:ascii="Times New Roman" w:hAnsi="Times New Roman" w:cs="Times New Roman"/>
          <w:b/>
          <w:i/>
        </w:rPr>
        <w:t xml:space="preserve">ith </w:t>
      </w:r>
      <w:r w:rsidR="002B637D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 xml:space="preserve">hanks to </w:t>
      </w:r>
      <w:r w:rsidR="002B637D">
        <w:rPr>
          <w:rFonts w:ascii="Times New Roman" w:hAnsi="Times New Roman" w:cs="Times New Roman"/>
          <w:b/>
          <w:i/>
        </w:rPr>
        <w:t>M</w:t>
      </w:r>
      <w:r>
        <w:rPr>
          <w:rFonts w:ascii="Times New Roman" w:hAnsi="Times New Roman" w:cs="Times New Roman"/>
          <w:b/>
          <w:i/>
        </w:rPr>
        <w:t>y Colleagues</w:t>
      </w:r>
    </w:p>
    <w:p w14:paraId="16E7CC0A" w14:textId="77777777" w:rsidR="00362BB8" w:rsidRDefault="00362BB8" w:rsidP="006134E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558B6031" w14:textId="1205ECF2" w:rsidR="00362BB8" w:rsidRDefault="00362BB8" w:rsidP="00362B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memo provides information for </w:t>
      </w:r>
      <w:r w:rsidR="00E03E0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nstructors who use this book. Unfortunately, as my colleagues have graciously pointed out, there are some errors in the text; a few are significant. I hope that this memo will assist </w:t>
      </w:r>
      <w:r w:rsidR="00E03E0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nstructors at present and that these corrections can be inserted in any subsequent printing.</w:t>
      </w:r>
    </w:p>
    <w:p w14:paraId="5EF6195B" w14:textId="77777777" w:rsidR="00362BB8" w:rsidRDefault="00362BB8" w:rsidP="00362BB8">
      <w:pPr>
        <w:spacing w:after="0"/>
        <w:rPr>
          <w:rFonts w:ascii="Times New Roman" w:hAnsi="Times New Roman" w:cs="Times New Roman"/>
        </w:rPr>
      </w:pPr>
    </w:p>
    <w:p w14:paraId="2237A4EE" w14:textId="085FB1E5" w:rsidR="000A1DF7" w:rsidRDefault="000A1DF7" w:rsidP="00B03C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Page 15</w:t>
      </w:r>
      <w:r w:rsidR="0044013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last para before Discussion Notes: </w:t>
      </w:r>
    </w:p>
    <w:p w14:paraId="4BBF1561" w14:textId="3E84F494" w:rsidR="005E3E91" w:rsidRPr="007A0792" w:rsidRDefault="005E3E91" w:rsidP="005E3E9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i/>
        </w:rPr>
        <w:t>Donoghue v Stevenson</w:t>
      </w:r>
      <w:r>
        <w:rPr>
          <w:rFonts w:ascii="Times New Roman" w:hAnsi="Times New Roman" w:cs="Times New Roman"/>
        </w:rPr>
        <w:t xml:space="preserve">, Lord Macmillan observed that </w:t>
      </w:r>
      <w:r w:rsidR="0044013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the categories of </w:t>
      </w:r>
      <w:r w:rsidRPr="007A0792">
        <w:rPr>
          <w:rFonts w:ascii="Times New Roman" w:hAnsi="Times New Roman" w:cs="Times New Roman"/>
          <w:u w:val="single"/>
        </w:rPr>
        <w:t>negligence</w:t>
      </w:r>
      <w:r>
        <w:rPr>
          <w:rFonts w:ascii="Times New Roman" w:hAnsi="Times New Roman" w:cs="Times New Roman"/>
        </w:rPr>
        <w:t xml:space="preserve"> are not closed.</w:t>
      </w:r>
      <w:r w:rsidR="0044013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The dissenting judges focused on the need for flexibility in the common law, applying his observation to the categories of </w:t>
      </w:r>
      <w:r w:rsidR="007A0792">
        <w:rPr>
          <w:rFonts w:ascii="Times New Roman" w:hAnsi="Times New Roman" w:cs="Times New Roman"/>
          <w:u w:val="single"/>
        </w:rPr>
        <w:t>nuisance</w:t>
      </w:r>
      <w:r w:rsidR="007A0792">
        <w:rPr>
          <w:rFonts w:ascii="Times New Roman" w:hAnsi="Times New Roman" w:cs="Times New Roman"/>
        </w:rPr>
        <w:t>.</w:t>
      </w:r>
    </w:p>
    <w:p w14:paraId="7CA3F8AF" w14:textId="0441CA13" w:rsidR="00B03C24" w:rsidRDefault="00B03C24" w:rsidP="00B03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Page 26, line </w:t>
      </w:r>
      <w:r w:rsidR="00A5766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: </w:t>
      </w:r>
      <w:r w:rsidR="00A57662">
        <w:rPr>
          <w:rFonts w:ascii="Times New Roman" w:hAnsi="Times New Roman" w:cs="Times New Roman"/>
        </w:rPr>
        <w:t xml:space="preserve">The word </w:t>
      </w:r>
      <w:r w:rsidR="0044013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destroyed</w:t>
      </w:r>
      <w:r w:rsidR="0044013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A57662">
        <w:rPr>
          <w:rFonts w:ascii="Times New Roman" w:hAnsi="Times New Roman" w:cs="Times New Roman"/>
        </w:rPr>
        <w:t>is incorrect; it should be</w:t>
      </w:r>
      <w:r>
        <w:rPr>
          <w:rFonts w:ascii="Times New Roman" w:hAnsi="Times New Roman" w:cs="Times New Roman"/>
        </w:rPr>
        <w:t xml:space="preserve"> </w:t>
      </w:r>
      <w:r w:rsidR="0044013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donated.</w:t>
      </w:r>
      <w:r w:rsidR="0044013D">
        <w:rPr>
          <w:rFonts w:ascii="Times New Roman" w:hAnsi="Times New Roman" w:cs="Times New Roman"/>
        </w:rPr>
        <w:t>”</w:t>
      </w:r>
    </w:p>
    <w:p w14:paraId="39885899" w14:textId="6AF1FDE3" w:rsidR="00A57662" w:rsidRPr="00A57662" w:rsidRDefault="00B03C24" w:rsidP="001F4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Page 26, heading iii</w:t>
      </w:r>
      <w:r w:rsidR="006134EB">
        <w:rPr>
          <w:rFonts w:ascii="Times New Roman" w:hAnsi="Times New Roman" w:cs="Times New Roman"/>
          <w:b/>
        </w:rPr>
        <w:t xml:space="preserve">, para 1: </w:t>
      </w:r>
      <w:proofErr w:type="spellStart"/>
      <w:r w:rsidR="00A57662">
        <w:rPr>
          <w:rFonts w:ascii="Times New Roman" w:hAnsi="Times New Roman" w:cs="Times New Roman"/>
          <w:i/>
        </w:rPr>
        <w:t>Piljak</w:t>
      </w:r>
      <w:proofErr w:type="spellEnd"/>
      <w:r w:rsidR="00A57662">
        <w:rPr>
          <w:rFonts w:ascii="Times New Roman" w:hAnsi="Times New Roman" w:cs="Times New Roman"/>
          <w:i/>
        </w:rPr>
        <w:t xml:space="preserve"> </w:t>
      </w:r>
      <w:proofErr w:type="spellStart"/>
      <w:r w:rsidR="00A57662">
        <w:rPr>
          <w:rFonts w:ascii="Times New Roman" w:hAnsi="Times New Roman" w:cs="Times New Roman"/>
          <w:i/>
        </w:rPr>
        <w:t>Esate</w:t>
      </w:r>
      <w:proofErr w:type="spellEnd"/>
      <w:r w:rsidR="00A57662">
        <w:rPr>
          <w:rFonts w:ascii="Times New Roman" w:hAnsi="Times New Roman" w:cs="Times New Roman"/>
        </w:rPr>
        <w:t xml:space="preserve"> involved complicated process issues</w:t>
      </w:r>
      <w:r w:rsidR="00EE3672">
        <w:rPr>
          <w:rFonts w:ascii="Times New Roman" w:hAnsi="Times New Roman" w:cs="Times New Roman"/>
        </w:rPr>
        <w:t>,</w:t>
      </w:r>
      <w:r w:rsidR="00A57662">
        <w:rPr>
          <w:rFonts w:ascii="Times New Roman" w:hAnsi="Times New Roman" w:cs="Times New Roman"/>
        </w:rPr>
        <w:t xml:space="preserve"> and the current description is incorrect. For ease of discussion, insert the following after the first two sentences</w:t>
      </w:r>
      <w:r w:rsidR="001F48FB">
        <w:rPr>
          <w:rFonts w:ascii="Times New Roman" w:hAnsi="Times New Roman" w:cs="Times New Roman"/>
        </w:rPr>
        <w:t xml:space="preserve"> and ignore the rest of the existing text:</w:t>
      </w:r>
      <w:r w:rsidR="00A57662">
        <w:rPr>
          <w:rFonts w:ascii="Times New Roman" w:hAnsi="Times New Roman" w:cs="Times New Roman"/>
        </w:rPr>
        <w:t xml:space="preserve"> </w:t>
      </w:r>
    </w:p>
    <w:p w14:paraId="3EBBA559" w14:textId="1FCD6557" w:rsidR="006134EB" w:rsidRDefault="006134EB" w:rsidP="006134E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hospital claimed that it was entitled to the tissue samples. Are these tissue samples </w:t>
      </w:r>
      <w:r w:rsidR="00CD2F3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property</w:t>
      </w:r>
      <w:r w:rsidR="00CD2F3C">
        <w:rPr>
          <w:rFonts w:ascii="Times New Roman" w:hAnsi="Times New Roman" w:cs="Times New Roman"/>
        </w:rPr>
        <w:t>”</w:t>
      </w:r>
      <w:r w:rsidR="00A7477C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A7477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f so, who is entitled to them? In </w:t>
      </w:r>
      <w:proofErr w:type="spellStart"/>
      <w:r>
        <w:rPr>
          <w:rFonts w:ascii="Times New Roman" w:hAnsi="Times New Roman" w:cs="Times New Roman"/>
          <w:i/>
        </w:rPr>
        <w:t>Piljak</w:t>
      </w:r>
      <w:proofErr w:type="spellEnd"/>
      <w:r>
        <w:rPr>
          <w:rFonts w:ascii="Times New Roman" w:hAnsi="Times New Roman" w:cs="Times New Roman"/>
          <w:i/>
        </w:rPr>
        <w:t xml:space="preserve"> Estate v Abraham</w:t>
      </w:r>
      <w:r>
        <w:rPr>
          <w:rFonts w:ascii="Times New Roman" w:hAnsi="Times New Roman" w:cs="Times New Roman"/>
        </w:rPr>
        <w:t>, 2014 ONSC 2893, the court held that the hospital owned the samples. To what extent is this case a precedent with respect to all samples and tissues extracted from a patient in a hospital?</w:t>
      </w:r>
    </w:p>
    <w:p w14:paraId="3FC310E9" w14:textId="77777777" w:rsidR="00CD2F3C" w:rsidRPr="001F48FB" w:rsidRDefault="00CD2F3C" w:rsidP="00CD2F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Page 26, heading iii, para 2: </w:t>
      </w:r>
      <w:r w:rsidR="001F48FB">
        <w:rPr>
          <w:rFonts w:ascii="Times New Roman" w:hAnsi="Times New Roman" w:cs="Times New Roman"/>
        </w:rPr>
        <w:t xml:space="preserve">In </w:t>
      </w:r>
      <w:r w:rsidR="001F48FB">
        <w:rPr>
          <w:rFonts w:ascii="Times New Roman" w:hAnsi="Times New Roman" w:cs="Times New Roman"/>
          <w:i/>
        </w:rPr>
        <w:t>KLW</w:t>
      </w:r>
      <w:r w:rsidR="001F48FB">
        <w:rPr>
          <w:rFonts w:ascii="Times New Roman" w:hAnsi="Times New Roman" w:cs="Times New Roman"/>
        </w:rPr>
        <w:t xml:space="preserve">, the contract failed to provide for what was to happen to the sperm after the husband’s death, thus creating a problem for the widow in accessing the sperm. In addition, the consent requirement is section 2 of the </w:t>
      </w:r>
      <w:r w:rsidR="001F48FB">
        <w:rPr>
          <w:rFonts w:ascii="Times New Roman" w:hAnsi="Times New Roman" w:cs="Times New Roman"/>
          <w:i/>
        </w:rPr>
        <w:t>Assisted Human Reproduction Act</w:t>
      </w:r>
      <w:r w:rsidR="001F48FB" w:rsidRPr="007F1480">
        <w:rPr>
          <w:rFonts w:ascii="Times New Roman" w:hAnsi="Times New Roman" w:cs="Times New Roman"/>
          <w:iCs/>
        </w:rPr>
        <w:t>,</w:t>
      </w:r>
      <w:r w:rsidR="001F48FB">
        <w:rPr>
          <w:rFonts w:ascii="Times New Roman" w:hAnsi="Times New Roman" w:cs="Times New Roman"/>
          <w:i/>
        </w:rPr>
        <w:t xml:space="preserve"> </w:t>
      </w:r>
      <w:r w:rsidR="001F48FB">
        <w:rPr>
          <w:rFonts w:ascii="Times New Roman" w:hAnsi="Times New Roman" w:cs="Times New Roman"/>
        </w:rPr>
        <w:t>not BC law.</w:t>
      </w:r>
    </w:p>
    <w:p w14:paraId="396CA2B8" w14:textId="5FEF570F" w:rsidR="009F14D7" w:rsidRDefault="000A1DF7" w:rsidP="000A1D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Page 36, </w:t>
      </w:r>
      <w:r w:rsidR="00D703FB">
        <w:rPr>
          <w:rFonts w:ascii="Times New Roman" w:hAnsi="Times New Roman" w:cs="Times New Roman"/>
          <w:b/>
        </w:rPr>
        <w:t>first</w:t>
      </w:r>
      <w:r w:rsidR="00D703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full para, lines 4-7: </w:t>
      </w:r>
      <w:r w:rsidR="001F48FB">
        <w:rPr>
          <w:rFonts w:ascii="Times New Roman" w:hAnsi="Times New Roman" w:cs="Times New Roman"/>
          <w:b/>
        </w:rPr>
        <w:t>Additional</w:t>
      </w:r>
      <w:r w:rsidR="009F14D7">
        <w:rPr>
          <w:rFonts w:ascii="Times New Roman" w:hAnsi="Times New Roman" w:cs="Times New Roman"/>
          <w:b/>
        </w:rPr>
        <w:t xml:space="preserve"> Information</w:t>
      </w:r>
    </w:p>
    <w:p w14:paraId="17AB5226" w14:textId="0AA0E191" w:rsidR="00CB1036" w:rsidRDefault="009F14D7" w:rsidP="009F14D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cases cited here </w:t>
      </w:r>
      <w:r w:rsidR="004C5AB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 xml:space="preserve">Krouse v Chrysler Canada Ltd </w:t>
      </w: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  <w:i/>
        </w:rPr>
        <w:t>Athans</w:t>
      </w:r>
      <w:proofErr w:type="spellEnd"/>
      <w:r>
        <w:rPr>
          <w:rFonts w:ascii="Times New Roman" w:hAnsi="Times New Roman" w:cs="Times New Roman"/>
          <w:i/>
        </w:rPr>
        <w:t xml:space="preserve"> v Canadian Adventure Camps Ltd</w:t>
      </w:r>
      <w:r w:rsidR="004C5AB2"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were 1970s cases involving well-known male sports figures whose images had been used without their consent for commercial purposes. By contrast</w:t>
      </w:r>
      <w:r w:rsidR="00CB1036">
        <w:rPr>
          <w:rFonts w:ascii="Times New Roman" w:hAnsi="Times New Roman" w:cs="Times New Roman"/>
        </w:rPr>
        <w:t xml:space="preserve"> with these claims</w:t>
      </w:r>
      <w:r>
        <w:rPr>
          <w:rFonts w:ascii="Times New Roman" w:hAnsi="Times New Roman" w:cs="Times New Roman"/>
        </w:rPr>
        <w:t xml:space="preserve">, the young woman in </w:t>
      </w:r>
      <w:proofErr w:type="spellStart"/>
      <w:r>
        <w:rPr>
          <w:rFonts w:ascii="Times New Roman" w:hAnsi="Times New Roman" w:cs="Times New Roman"/>
          <w:i/>
        </w:rPr>
        <w:t>Aubry</w:t>
      </w:r>
      <w:proofErr w:type="spellEnd"/>
      <w:r>
        <w:rPr>
          <w:rFonts w:ascii="Times New Roman" w:hAnsi="Times New Roman" w:cs="Times New Roman"/>
        </w:rPr>
        <w:t xml:space="preserve"> was not famous, but she nonetheless succeeded in her claim for damages, based on invasion of privacy. </w:t>
      </w:r>
      <w:r w:rsidR="001F48FB">
        <w:rPr>
          <w:rFonts w:ascii="Times New Roman" w:hAnsi="Times New Roman" w:cs="Times New Roman"/>
        </w:rPr>
        <w:t>The claims are different, of course</w:t>
      </w:r>
      <w:r w:rsidR="004B38B2">
        <w:rPr>
          <w:rFonts w:ascii="Times New Roman" w:hAnsi="Times New Roman" w:cs="Times New Roman"/>
        </w:rPr>
        <w:t xml:space="preserve">, and </w:t>
      </w:r>
      <w:proofErr w:type="spellStart"/>
      <w:r w:rsidR="004B38B2" w:rsidRPr="004B38B2">
        <w:rPr>
          <w:rFonts w:ascii="Times New Roman" w:hAnsi="Times New Roman" w:cs="Times New Roman"/>
          <w:i/>
        </w:rPr>
        <w:t>Aubry</w:t>
      </w:r>
      <w:proofErr w:type="spellEnd"/>
      <w:r w:rsidR="004B38B2">
        <w:rPr>
          <w:rFonts w:ascii="Times New Roman" w:hAnsi="Times New Roman" w:cs="Times New Roman"/>
        </w:rPr>
        <w:t xml:space="preserve"> appears to offer some protection for </w:t>
      </w:r>
      <w:r w:rsidR="007A1616">
        <w:rPr>
          <w:rFonts w:ascii="Times New Roman" w:hAnsi="Times New Roman" w:cs="Times New Roman"/>
        </w:rPr>
        <w:t>“</w:t>
      </w:r>
      <w:r w:rsidR="004B38B2">
        <w:rPr>
          <w:rFonts w:ascii="Times New Roman" w:hAnsi="Times New Roman" w:cs="Times New Roman"/>
        </w:rPr>
        <w:t>ordinary people,</w:t>
      </w:r>
      <w:r w:rsidR="007A1616">
        <w:rPr>
          <w:rFonts w:ascii="Times New Roman" w:hAnsi="Times New Roman" w:cs="Times New Roman"/>
        </w:rPr>
        <w:t>”</w:t>
      </w:r>
      <w:r w:rsidR="007A1616">
        <w:rPr>
          <w:rFonts w:ascii="Times New Roman" w:hAnsi="Times New Roman" w:cs="Times New Roman"/>
        </w:rPr>
        <w:t xml:space="preserve"> </w:t>
      </w:r>
      <w:r w:rsidR="004B38B2">
        <w:rPr>
          <w:rFonts w:ascii="Times New Roman" w:hAnsi="Times New Roman" w:cs="Times New Roman"/>
        </w:rPr>
        <w:t xml:space="preserve">pursuant to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i/>
        </w:rPr>
        <w:t xml:space="preserve">Quebec Charter of Human Rights and Freedoms </w:t>
      </w:r>
      <w:r>
        <w:rPr>
          <w:rFonts w:ascii="Times New Roman" w:hAnsi="Times New Roman" w:cs="Times New Roman"/>
        </w:rPr>
        <w:t>(a right to be anonymous)</w:t>
      </w:r>
      <w:r w:rsidR="004B38B2">
        <w:rPr>
          <w:rFonts w:ascii="Times New Roman" w:hAnsi="Times New Roman" w:cs="Times New Roman"/>
        </w:rPr>
        <w:t xml:space="preserve">, because the photo was </w:t>
      </w:r>
      <w:r>
        <w:rPr>
          <w:rFonts w:ascii="Times New Roman" w:hAnsi="Times New Roman" w:cs="Times New Roman"/>
        </w:rPr>
        <w:t>published without her consent</w:t>
      </w:r>
      <w:r w:rsidR="004B38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To what extent should common law provinces offer similar protection</w:t>
      </w:r>
      <w:r w:rsidR="004B38B2">
        <w:rPr>
          <w:rFonts w:ascii="Times New Roman" w:hAnsi="Times New Roman" w:cs="Times New Roman"/>
        </w:rPr>
        <w:t>?</w:t>
      </w:r>
      <w:r w:rsidR="00CB1036">
        <w:rPr>
          <w:rFonts w:ascii="Times New Roman" w:hAnsi="Times New Roman" w:cs="Times New Roman"/>
        </w:rPr>
        <w:t xml:space="preserve"> </w:t>
      </w:r>
    </w:p>
    <w:p w14:paraId="227B4576" w14:textId="77777777" w:rsidR="00CB1036" w:rsidRPr="004B38B2" w:rsidRDefault="00CB1036" w:rsidP="00CB1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Page 189, note iii, </w:t>
      </w:r>
      <w:proofErr w:type="spellStart"/>
      <w:r>
        <w:rPr>
          <w:rFonts w:ascii="Times New Roman" w:hAnsi="Times New Roman" w:cs="Times New Roman"/>
          <w:b/>
          <w:i/>
        </w:rPr>
        <w:t>Sipsas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para 24: </w:t>
      </w:r>
      <w:r w:rsidR="004B38B2">
        <w:rPr>
          <w:rFonts w:ascii="Times New Roman" w:hAnsi="Times New Roman" w:cs="Times New Roman"/>
        </w:rPr>
        <w:t>Significant words were inadvertently omitted:</w:t>
      </w:r>
    </w:p>
    <w:p w14:paraId="6E24888C" w14:textId="77777777" w:rsidR="00CB1036" w:rsidRDefault="00CB1036" w:rsidP="00CB103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[24] This court has not determined whether inconsistent use is necessary in cases of unilateral mistake, although there is Superior Court authority that supports the proposition </w:t>
      </w:r>
      <w:r w:rsidR="007A0792">
        <w:rPr>
          <w:rFonts w:ascii="Times New Roman" w:hAnsi="Times New Roman" w:cs="Times New Roman"/>
          <w:u w:val="single"/>
        </w:rPr>
        <w:t>that it is not</w:t>
      </w:r>
      <w:r>
        <w:rPr>
          <w:rFonts w:ascii="Times New Roman" w:hAnsi="Times New Roman" w:cs="Times New Roman"/>
        </w:rPr>
        <w:t>.</w:t>
      </w:r>
    </w:p>
    <w:p w14:paraId="0A97440C" w14:textId="77777777" w:rsidR="00CB1036" w:rsidRPr="004B38B2" w:rsidRDefault="00CB1036" w:rsidP="00CB1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Page 217, note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>, para 2</w:t>
      </w:r>
      <w:r w:rsidR="00F07010">
        <w:rPr>
          <w:rFonts w:ascii="Times New Roman" w:hAnsi="Times New Roman" w:cs="Times New Roman"/>
          <w:b/>
        </w:rPr>
        <w:t xml:space="preserve">: </w:t>
      </w:r>
      <w:r w:rsidR="004B38B2">
        <w:rPr>
          <w:rFonts w:ascii="Times New Roman" w:hAnsi="Times New Roman" w:cs="Times New Roman"/>
        </w:rPr>
        <w:t xml:space="preserve">The text contains an error: </w:t>
      </w:r>
      <w:r w:rsidR="007A0792">
        <w:rPr>
          <w:rFonts w:ascii="Times New Roman" w:hAnsi="Times New Roman" w:cs="Times New Roman"/>
        </w:rPr>
        <w:t>The</w:t>
      </w:r>
      <w:r w:rsidR="004B38B2">
        <w:rPr>
          <w:rFonts w:ascii="Times New Roman" w:hAnsi="Times New Roman" w:cs="Times New Roman"/>
        </w:rPr>
        <w:t xml:space="preserve"> Crown divided the island into 67 </w:t>
      </w:r>
      <w:r w:rsidR="007A0792">
        <w:rPr>
          <w:rFonts w:ascii="Times New Roman" w:hAnsi="Times New Roman" w:cs="Times New Roman"/>
          <w:u w:val="single"/>
        </w:rPr>
        <w:t>freehold</w:t>
      </w:r>
      <w:r w:rsidR="004B38B2">
        <w:rPr>
          <w:rFonts w:ascii="Times New Roman" w:hAnsi="Times New Roman" w:cs="Times New Roman"/>
        </w:rPr>
        <w:t xml:space="preserve"> lots, subject to the requirement to settle the lands with tenants.</w:t>
      </w:r>
    </w:p>
    <w:p w14:paraId="681A2419" w14:textId="44F8EAD6" w:rsidR="00F07010" w:rsidRDefault="00F07010" w:rsidP="00F0701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Page 223,</w:t>
      </w:r>
      <w:proofErr w:type="gramEnd"/>
      <w:r>
        <w:rPr>
          <w:rFonts w:ascii="Times New Roman" w:hAnsi="Times New Roman" w:cs="Times New Roman"/>
          <w:b/>
        </w:rPr>
        <w:t xml:space="preserve"> note ii</w:t>
      </w:r>
      <w:r w:rsidR="004B38B2">
        <w:rPr>
          <w:rFonts w:ascii="Times New Roman" w:hAnsi="Times New Roman" w:cs="Times New Roman"/>
          <w:b/>
        </w:rPr>
        <w:t xml:space="preserve">: </w:t>
      </w:r>
      <w:r w:rsidR="004B38B2">
        <w:rPr>
          <w:rFonts w:ascii="Times New Roman" w:hAnsi="Times New Roman" w:cs="Times New Roman"/>
        </w:rPr>
        <w:t xml:space="preserve">The text contains an error: The </w:t>
      </w:r>
      <w:r w:rsidR="007A0792">
        <w:rPr>
          <w:rFonts w:ascii="Times New Roman" w:hAnsi="Times New Roman" w:cs="Times New Roman"/>
          <w:u w:val="single"/>
        </w:rPr>
        <w:t xml:space="preserve">Canadian </w:t>
      </w:r>
      <w:r w:rsidR="007A0792" w:rsidRPr="007A0792">
        <w:rPr>
          <w:rFonts w:ascii="Times New Roman" w:hAnsi="Times New Roman" w:cs="Times New Roman"/>
          <w:u w:val="single"/>
        </w:rPr>
        <w:t>Parliament</w:t>
      </w:r>
      <w:r w:rsidR="004B38B2">
        <w:rPr>
          <w:rFonts w:ascii="Times New Roman" w:hAnsi="Times New Roman" w:cs="Times New Roman"/>
        </w:rPr>
        <w:t xml:space="preserve"> enacted the </w:t>
      </w:r>
      <w:r w:rsidR="004B38B2">
        <w:rPr>
          <w:rFonts w:ascii="Times New Roman" w:hAnsi="Times New Roman" w:cs="Times New Roman"/>
          <w:i/>
        </w:rPr>
        <w:t>Succession to the Throne Act</w:t>
      </w:r>
      <w:r w:rsidR="004B38B2">
        <w:rPr>
          <w:rFonts w:ascii="Times New Roman" w:hAnsi="Times New Roman" w:cs="Times New Roman"/>
        </w:rPr>
        <w:t xml:space="preserve">, </w:t>
      </w:r>
      <w:r w:rsidR="004B38B2">
        <w:rPr>
          <w:rFonts w:ascii="Times New Roman" w:hAnsi="Times New Roman" w:cs="Times New Roman"/>
          <w:i/>
        </w:rPr>
        <w:t>2013</w:t>
      </w:r>
      <w:r w:rsidR="004B38B2">
        <w:rPr>
          <w:rFonts w:ascii="Times New Roman" w:hAnsi="Times New Roman" w:cs="Times New Roman"/>
        </w:rPr>
        <w:t xml:space="preserve"> (</w:t>
      </w:r>
      <w:r w:rsidR="00E627C0">
        <w:rPr>
          <w:rFonts w:ascii="Times New Roman" w:hAnsi="Times New Roman" w:cs="Times New Roman"/>
        </w:rPr>
        <w:t xml:space="preserve">SC </w:t>
      </w:r>
      <w:r w:rsidR="004B38B2">
        <w:rPr>
          <w:rFonts w:ascii="Times New Roman" w:hAnsi="Times New Roman" w:cs="Times New Roman"/>
        </w:rPr>
        <w:t>2013, c 6), incorporating by reference the UK statute.</w:t>
      </w:r>
    </w:p>
    <w:p w14:paraId="4DE7C592" w14:textId="0EE65966" w:rsidR="004B38B2" w:rsidRDefault="004B38B2" w:rsidP="00F07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Page </w:t>
      </w:r>
      <w:r w:rsidR="00F65682">
        <w:rPr>
          <w:rFonts w:ascii="Times New Roman" w:hAnsi="Times New Roman" w:cs="Times New Roman"/>
          <w:b/>
        </w:rPr>
        <w:t>264</w:t>
      </w:r>
      <w:r w:rsidR="00FE08AB">
        <w:rPr>
          <w:rFonts w:ascii="Times New Roman" w:hAnsi="Times New Roman" w:cs="Times New Roman"/>
          <w:b/>
        </w:rPr>
        <w:t>,</w:t>
      </w:r>
      <w:r w:rsidR="00FE08AB">
        <w:rPr>
          <w:rFonts w:ascii="Times New Roman" w:hAnsi="Times New Roman" w:cs="Times New Roman"/>
          <w:b/>
        </w:rPr>
        <w:t xml:space="preserve"> </w:t>
      </w:r>
      <w:r w:rsidR="00F65682">
        <w:rPr>
          <w:rFonts w:ascii="Times New Roman" w:hAnsi="Times New Roman" w:cs="Times New Roman"/>
          <w:b/>
        </w:rPr>
        <w:t xml:space="preserve">last </w:t>
      </w:r>
      <w:r w:rsidR="00D703FB">
        <w:rPr>
          <w:rFonts w:ascii="Times New Roman" w:hAnsi="Times New Roman" w:cs="Times New Roman"/>
          <w:b/>
        </w:rPr>
        <w:t>two</w:t>
      </w:r>
      <w:r w:rsidR="00D703FB">
        <w:rPr>
          <w:rFonts w:ascii="Times New Roman" w:hAnsi="Times New Roman" w:cs="Times New Roman"/>
          <w:b/>
        </w:rPr>
        <w:t xml:space="preserve"> </w:t>
      </w:r>
      <w:r w:rsidR="00F65682">
        <w:rPr>
          <w:rFonts w:ascii="Times New Roman" w:hAnsi="Times New Roman" w:cs="Times New Roman"/>
          <w:b/>
        </w:rPr>
        <w:t xml:space="preserve">lines: </w:t>
      </w:r>
      <w:r w:rsidR="00F65682">
        <w:rPr>
          <w:rFonts w:ascii="Times New Roman" w:hAnsi="Times New Roman" w:cs="Times New Roman"/>
        </w:rPr>
        <w:t>For greater accuracy</w:t>
      </w:r>
      <w:r w:rsidR="007A0792">
        <w:rPr>
          <w:rFonts w:ascii="Times New Roman" w:hAnsi="Times New Roman" w:cs="Times New Roman"/>
        </w:rPr>
        <w:t>:</w:t>
      </w:r>
      <w:r w:rsidR="00F65682">
        <w:rPr>
          <w:rFonts w:ascii="Times New Roman" w:hAnsi="Times New Roman" w:cs="Times New Roman"/>
        </w:rPr>
        <w:t xml:space="preserve"> </w:t>
      </w:r>
      <w:r w:rsidR="007A0792">
        <w:rPr>
          <w:rFonts w:ascii="Times New Roman" w:hAnsi="Times New Roman" w:cs="Times New Roman"/>
        </w:rPr>
        <w:t>T</w:t>
      </w:r>
      <w:r w:rsidR="00F65682">
        <w:rPr>
          <w:rFonts w:ascii="Times New Roman" w:hAnsi="Times New Roman" w:cs="Times New Roman"/>
        </w:rPr>
        <w:t xml:space="preserve">he restriction in </w:t>
      </w:r>
      <w:proofErr w:type="spellStart"/>
      <w:r w:rsidR="00F65682">
        <w:rPr>
          <w:rFonts w:ascii="Times New Roman" w:hAnsi="Times New Roman" w:cs="Times New Roman"/>
          <w:i/>
        </w:rPr>
        <w:t>Murley</w:t>
      </w:r>
      <w:proofErr w:type="spellEnd"/>
      <w:r w:rsidR="00F65682">
        <w:rPr>
          <w:rFonts w:ascii="Times New Roman" w:hAnsi="Times New Roman" w:cs="Times New Roman"/>
          <w:i/>
        </w:rPr>
        <w:t xml:space="preserve"> </w:t>
      </w:r>
      <w:r w:rsidR="00F65682">
        <w:rPr>
          <w:rFonts w:ascii="Times New Roman" w:hAnsi="Times New Roman" w:cs="Times New Roman"/>
        </w:rPr>
        <w:t>was attached to a licence, rather than a property interest; the judge expressly stated that it would have been invalid if attached to a property interest.</w:t>
      </w:r>
    </w:p>
    <w:p w14:paraId="4F9360DB" w14:textId="1433DB49" w:rsidR="00F65682" w:rsidRDefault="00F65682" w:rsidP="00F07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Page 268</w:t>
      </w:r>
      <w:r w:rsidR="00FE08AB">
        <w:rPr>
          <w:rFonts w:ascii="Times New Roman" w:hAnsi="Times New Roman" w:cs="Times New Roman"/>
          <w:b/>
        </w:rPr>
        <w:t>,</w:t>
      </w:r>
      <w:r w:rsidR="00FE08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note iii, last para, line 2: </w:t>
      </w:r>
      <w:r>
        <w:rPr>
          <w:rFonts w:ascii="Times New Roman" w:hAnsi="Times New Roman" w:cs="Times New Roman"/>
        </w:rPr>
        <w:t xml:space="preserve">The word </w:t>
      </w:r>
      <w:r w:rsidR="0033076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context</w:t>
      </w:r>
      <w:r w:rsidR="0033076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should be </w:t>
      </w:r>
      <w:r w:rsidR="0033076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conflict.</w:t>
      </w:r>
      <w:r w:rsidR="0033076F">
        <w:rPr>
          <w:rFonts w:ascii="Times New Roman" w:hAnsi="Times New Roman" w:cs="Times New Roman"/>
        </w:rPr>
        <w:t>”</w:t>
      </w:r>
    </w:p>
    <w:p w14:paraId="63F7A432" w14:textId="77777777" w:rsidR="00F65682" w:rsidRDefault="00F65682" w:rsidP="00F07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Page 306, line 1: </w:t>
      </w:r>
      <w:r>
        <w:rPr>
          <w:rFonts w:ascii="Times New Roman" w:hAnsi="Times New Roman" w:cs="Times New Roman"/>
        </w:rPr>
        <w:t>There are words missing. The sentence should state:</w:t>
      </w:r>
    </w:p>
    <w:p w14:paraId="2E630EEC" w14:textId="77777777" w:rsidR="00F65682" w:rsidRDefault="00F65682" w:rsidP="00F6568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 rights of re-entry and possibilities of </w:t>
      </w:r>
      <w:proofErr w:type="spellStart"/>
      <w:r>
        <w:rPr>
          <w:rFonts w:ascii="Times New Roman" w:hAnsi="Times New Roman" w:cs="Times New Roman"/>
        </w:rPr>
        <w:t>reverter</w:t>
      </w:r>
      <w:proofErr w:type="spellEnd"/>
      <w:r>
        <w:rPr>
          <w:rFonts w:ascii="Times New Roman" w:hAnsi="Times New Roman" w:cs="Times New Roman"/>
        </w:rPr>
        <w:t xml:space="preserve"> to </w:t>
      </w:r>
      <w:r w:rsidR="007A0792">
        <w:rPr>
          <w:rFonts w:ascii="Times New Roman" w:hAnsi="Times New Roman" w:cs="Times New Roman"/>
          <w:u w:val="single"/>
        </w:rPr>
        <w:t>the lesser of</w:t>
      </w:r>
      <w:r>
        <w:rPr>
          <w:rFonts w:ascii="Times New Roman" w:hAnsi="Times New Roman" w:cs="Times New Roman"/>
        </w:rPr>
        <w:t xml:space="preserve"> a uniform period of 40 years or a life in being plus 21 years if there are any relevant lives.</w:t>
      </w:r>
    </w:p>
    <w:p w14:paraId="294037C5" w14:textId="37E0F800" w:rsidR="007A0792" w:rsidRDefault="00305270" w:rsidP="003052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Page 374-75</w:t>
      </w:r>
      <w:r w:rsidR="00C767FE">
        <w:rPr>
          <w:rFonts w:ascii="Times New Roman" w:hAnsi="Times New Roman" w:cs="Times New Roman"/>
          <w:b/>
        </w:rPr>
        <w:t>,</w:t>
      </w:r>
      <w:r w:rsidR="00C767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note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(page 375, line 2): </w:t>
      </w:r>
      <w:r>
        <w:rPr>
          <w:rFonts w:ascii="Times New Roman" w:hAnsi="Times New Roman" w:cs="Times New Roman"/>
        </w:rPr>
        <w:t xml:space="preserve">There is a significant error. The words </w:t>
      </w:r>
      <w:r w:rsidR="004415C3" w:rsidRPr="004415C3">
        <w:rPr>
          <w:rFonts w:ascii="Times New Roman" w:hAnsi="Times New Roman" w:cs="Times New Roman"/>
        </w:rPr>
        <w:t>“</w:t>
      </w:r>
      <w:r w:rsidR="007A0792">
        <w:rPr>
          <w:rFonts w:ascii="Times New Roman" w:hAnsi="Times New Roman" w:cs="Times New Roman"/>
          <w:u w:val="single"/>
        </w:rPr>
        <w:t>similar to</w:t>
      </w:r>
      <w:r>
        <w:rPr>
          <w:rFonts w:ascii="Times New Roman" w:hAnsi="Times New Roman" w:cs="Times New Roman"/>
        </w:rPr>
        <w:t xml:space="preserve"> her dissenting </w:t>
      </w:r>
      <w:r w:rsidR="004415C3">
        <w:rPr>
          <w:rFonts w:ascii="Times New Roman" w:hAnsi="Times New Roman" w:cs="Times New Roman"/>
        </w:rPr>
        <w:t>opinion</w:t>
      </w:r>
      <w:r w:rsidR="004415C3">
        <w:rPr>
          <w:rFonts w:ascii="Times New Roman" w:hAnsi="Times New Roman" w:cs="Times New Roman"/>
        </w:rPr>
        <w:t>”</w:t>
      </w:r>
      <w:r w:rsidR="00441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should </w:t>
      </w:r>
      <w:r w:rsidR="007A0792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</w:t>
      </w:r>
      <w:r w:rsidR="004415C3">
        <w:rPr>
          <w:rFonts w:ascii="Times New Roman" w:hAnsi="Times New Roman" w:cs="Times New Roman"/>
        </w:rPr>
        <w:t>“</w:t>
      </w:r>
      <w:r w:rsidR="007A0792">
        <w:rPr>
          <w:rFonts w:ascii="Times New Roman" w:hAnsi="Times New Roman" w:cs="Times New Roman"/>
          <w:u w:val="single"/>
        </w:rPr>
        <w:t>reversing</w:t>
      </w:r>
      <w:r>
        <w:rPr>
          <w:rFonts w:ascii="Times New Roman" w:hAnsi="Times New Roman" w:cs="Times New Roman"/>
        </w:rPr>
        <w:t xml:space="preserve"> her dissenting opinion</w:t>
      </w:r>
      <w:r w:rsidR="00B93379">
        <w:rPr>
          <w:rFonts w:ascii="Times New Roman" w:hAnsi="Times New Roman" w:cs="Times New Roman"/>
        </w:rPr>
        <w:t>.</w:t>
      </w:r>
      <w:r w:rsidR="004415C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b/>
        </w:rPr>
        <w:t xml:space="preserve"> </w:t>
      </w:r>
    </w:p>
    <w:p w14:paraId="1FA857B6" w14:textId="4C96E028" w:rsidR="0023298E" w:rsidRDefault="007A0792" w:rsidP="0030527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Page 435,</w:t>
      </w:r>
      <w:proofErr w:type="gramEnd"/>
      <w:r>
        <w:rPr>
          <w:rFonts w:ascii="Times New Roman" w:hAnsi="Times New Roman" w:cs="Times New Roman"/>
          <w:b/>
        </w:rPr>
        <w:t xml:space="preserve"> note vi: </w:t>
      </w:r>
      <w:r>
        <w:rPr>
          <w:rFonts w:ascii="Times New Roman" w:hAnsi="Times New Roman" w:cs="Times New Roman"/>
          <w:i/>
        </w:rPr>
        <w:t>Wing Lee Holdings Ltd v Coleman</w:t>
      </w:r>
      <w:r>
        <w:rPr>
          <w:rFonts w:ascii="Times New Roman" w:hAnsi="Times New Roman" w:cs="Times New Roman"/>
        </w:rPr>
        <w:t xml:space="preserve"> involved a series of assignments, each of which included a clause relieving </w:t>
      </w:r>
      <w:r w:rsidR="00357C92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assignor of liability for future breaches by an assignee. </w:t>
      </w:r>
      <w:r w:rsidR="00C427A5">
        <w:rPr>
          <w:rFonts w:ascii="Times New Roman" w:hAnsi="Times New Roman" w:cs="Times New Roman"/>
        </w:rPr>
        <w:t xml:space="preserve">When </w:t>
      </w:r>
      <w:r w:rsidR="00357C92">
        <w:rPr>
          <w:rFonts w:ascii="Times New Roman" w:hAnsi="Times New Roman" w:cs="Times New Roman"/>
        </w:rPr>
        <w:t>a</w:t>
      </w:r>
      <w:r w:rsidR="00C427A5">
        <w:rPr>
          <w:rFonts w:ascii="Times New Roman" w:hAnsi="Times New Roman" w:cs="Times New Roman"/>
        </w:rPr>
        <w:t xml:space="preserve"> current assignee failed to pay rent, the lessor sued the initial lessees. Among </w:t>
      </w:r>
      <w:r>
        <w:rPr>
          <w:rFonts w:ascii="Times New Roman" w:hAnsi="Times New Roman" w:cs="Times New Roman"/>
        </w:rPr>
        <w:t xml:space="preserve">other arguments, the lessor attempted to rely on </w:t>
      </w:r>
      <w:r>
        <w:rPr>
          <w:rFonts w:ascii="Times New Roman" w:hAnsi="Times New Roman" w:cs="Times New Roman"/>
          <w:i/>
        </w:rPr>
        <w:t>Highway Properties</w:t>
      </w:r>
      <w:r>
        <w:rPr>
          <w:rFonts w:ascii="Times New Roman" w:hAnsi="Times New Roman" w:cs="Times New Roman"/>
        </w:rPr>
        <w:t xml:space="preserve">, </w:t>
      </w:r>
      <w:r w:rsidR="00C427A5">
        <w:rPr>
          <w:rFonts w:ascii="Times New Roman" w:hAnsi="Times New Roman" w:cs="Times New Roman"/>
        </w:rPr>
        <w:t xml:space="preserve">but the court held that the lessor had not notified the current assignee of his intention when he re-entered the leased property and </w:t>
      </w:r>
      <w:r w:rsidR="00357C92">
        <w:rPr>
          <w:rFonts w:ascii="Times New Roman" w:hAnsi="Times New Roman" w:cs="Times New Roman"/>
        </w:rPr>
        <w:t>that</w:t>
      </w:r>
      <w:r w:rsidR="00C427A5">
        <w:rPr>
          <w:rFonts w:ascii="Times New Roman" w:hAnsi="Times New Roman" w:cs="Times New Roman"/>
        </w:rPr>
        <w:t xml:space="preserve"> there was no basis for his claim against the original lessees. Although this case discussed </w:t>
      </w:r>
      <w:r w:rsidR="00C427A5">
        <w:rPr>
          <w:rFonts w:ascii="Times New Roman" w:hAnsi="Times New Roman" w:cs="Times New Roman"/>
          <w:i/>
        </w:rPr>
        <w:t>Highway Properties</w:t>
      </w:r>
      <w:r w:rsidR="0023298E">
        <w:rPr>
          <w:rFonts w:ascii="Times New Roman" w:hAnsi="Times New Roman" w:cs="Times New Roman"/>
        </w:rPr>
        <w:t>,</w:t>
      </w:r>
      <w:r w:rsidR="00C427A5">
        <w:rPr>
          <w:rFonts w:ascii="Times New Roman" w:hAnsi="Times New Roman" w:cs="Times New Roman"/>
        </w:rPr>
        <w:t xml:space="preserve"> the availability of </w:t>
      </w:r>
      <w:r w:rsidR="0023298E">
        <w:rPr>
          <w:rFonts w:ascii="Times New Roman" w:hAnsi="Times New Roman" w:cs="Times New Roman"/>
        </w:rPr>
        <w:t>the</w:t>
      </w:r>
      <w:r w:rsidR="000E2922">
        <w:rPr>
          <w:rFonts w:ascii="Times New Roman" w:hAnsi="Times New Roman" w:cs="Times New Roman"/>
        </w:rPr>
        <w:t xml:space="preserve"> fourth</w:t>
      </w:r>
      <w:r w:rsidR="0023298E">
        <w:rPr>
          <w:rFonts w:ascii="Times New Roman" w:hAnsi="Times New Roman" w:cs="Times New Roman"/>
        </w:rPr>
        <w:t xml:space="preserve"> remed</w:t>
      </w:r>
      <w:r w:rsidR="000E2922">
        <w:rPr>
          <w:rFonts w:ascii="Times New Roman" w:hAnsi="Times New Roman" w:cs="Times New Roman"/>
        </w:rPr>
        <w:t xml:space="preserve">y </w:t>
      </w:r>
      <w:r w:rsidR="0023298E">
        <w:rPr>
          <w:rFonts w:ascii="Times New Roman" w:hAnsi="Times New Roman" w:cs="Times New Roman"/>
        </w:rPr>
        <w:t>in the absence of privity of contract remains unclear.</w:t>
      </w:r>
      <w:r w:rsidR="00C427A5">
        <w:rPr>
          <w:rFonts w:ascii="Times New Roman" w:hAnsi="Times New Roman" w:cs="Times New Roman"/>
        </w:rPr>
        <w:t xml:space="preserve"> </w:t>
      </w:r>
    </w:p>
    <w:p w14:paraId="18399E1D" w14:textId="77777777" w:rsidR="0023298E" w:rsidRDefault="0023298E" w:rsidP="00305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Page 484, note iii, para 1, last 2 sentences: </w:t>
      </w:r>
      <w:r>
        <w:rPr>
          <w:rFonts w:ascii="Times New Roman" w:hAnsi="Times New Roman" w:cs="Times New Roman"/>
        </w:rPr>
        <w:t xml:space="preserve">Clarification: By 2004, the gallery concluded that Beaverbrook had made gifts of many paintings to the gallery and that </w:t>
      </w:r>
      <w:r>
        <w:rPr>
          <w:rFonts w:ascii="Times New Roman" w:hAnsi="Times New Roman" w:cs="Times New Roman"/>
          <w:u w:val="single"/>
        </w:rPr>
        <w:t xml:space="preserve">he had then had the accession records altered </w:t>
      </w:r>
      <w:r>
        <w:rPr>
          <w:rFonts w:ascii="Times New Roman" w:hAnsi="Times New Roman" w:cs="Times New Roman"/>
        </w:rPr>
        <w:t>to make them appear as loans. That is, it was Beaverbrook, not the gallery, that arranged for the records to be altered.</w:t>
      </w:r>
    </w:p>
    <w:p w14:paraId="7C4DEEFA" w14:textId="0B5D558E" w:rsidR="00B03C24" w:rsidRPr="00B03C24" w:rsidRDefault="0023298E" w:rsidP="00B03C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Page 570, note ii</w:t>
      </w:r>
      <w:r w:rsidR="00D703FB">
        <w:rPr>
          <w:rFonts w:ascii="Times New Roman" w:hAnsi="Times New Roman" w:cs="Times New Roman"/>
          <w:b/>
        </w:rPr>
        <w:t>,</w:t>
      </w:r>
      <w:r w:rsidR="00244FD0">
        <w:rPr>
          <w:rFonts w:ascii="Times New Roman" w:hAnsi="Times New Roman" w:cs="Times New Roman"/>
          <w:b/>
        </w:rPr>
        <w:t xml:space="preserve"> </w:t>
      </w:r>
      <w:r w:rsidR="00C974D8">
        <w:rPr>
          <w:rFonts w:ascii="Times New Roman" w:hAnsi="Times New Roman" w:cs="Times New Roman"/>
          <w:b/>
        </w:rPr>
        <w:t xml:space="preserve">last para, lines 3 to the end: </w:t>
      </w:r>
      <w:r w:rsidR="00C974D8">
        <w:rPr>
          <w:rFonts w:ascii="Times New Roman" w:hAnsi="Times New Roman" w:cs="Times New Roman"/>
        </w:rPr>
        <w:t>An alternative suggestion for th</w:t>
      </w:r>
      <w:bookmarkStart w:id="0" w:name="_GoBack"/>
      <w:bookmarkEnd w:id="0"/>
      <w:r w:rsidR="00C974D8">
        <w:rPr>
          <w:rFonts w:ascii="Times New Roman" w:hAnsi="Times New Roman" w:cs="Times New Roman"/>
        </w:rPr>
        <w:t>e court’s obiter comment in para 28 is that the court was considering a severance pursuant to Rule 2</w:t>
      </w:r>
      <w:r w:rsidR="00D6550C">
        <w:rPr>
          <w:rFonts w:ascii="Times New Roman" w:hAnsi="Times New Roman" w:cs="Times New Roman"/>
        </w:rPr>
        <w:t>,</w:t>
      </w:r>
      <w:r w:rsidR="00D6550C">
        <w:rPr>
          <w:rFonts w:ascii="Times New Roman" w:hAnsi="Times New Roman" w:cs="Times New Roman"/>
        </w:rPr>
        <w:t xml:space="preserve"> </w:t>
      </w:r>
      <w:r w:rsidR="00C974D8">
        <w:rPr>
          <w:rFonts w:ascii="Times New Roman" w:hAnsi="Times New Roman" w:cs="Times New Roman"/>
        </w:rPr>
        <w:t xml:space="preserve">mutual agreement, which might take place in equity. In such a case, the son would be a tenant in common in </w:t>
      </w:r>
      <w:r w:rsidR="00C974D8" w:rsidRPr="00C974D8">
        <w:rPr>
          <w:rFonts w:ascii="Times New Roman" w:hAnsi="Times New Roman" w:cs="Times New Roman"/>
          <w:u w:val="single"/>
        </w:rPr>
        <w:t>equity</w:t>
      </w:r>
      <w:r w:rsidR="00C974D8">
        <w:rPr>
          <w:rFonts w:ascii="Times New Roman" w:hAnsi="Times New Roman" w:cs="Times New Roman"/>
        </w:rPr>
        <w:t xml:space="preserve"> with respect to an undivided one-third</w:t>
      </w:r>
      <w:r w:rsidR="002B5239">
        <w:rPr>
          <w:rFonts w:ascii="Times New Roman" w:hAnsi="Times New Roman" w:cs="Times New Roman"/>
        </w:rPr>
        <w:t xml:space="preserve"> interest. </w:t>
      </w:r>
      <w:r w:rsidR="00C974D8">
        <w:rPr>
          <w:rFonts w:ascii="Times New Roman" w:hAnsi="Times New Roman" w:cs="Times New Roman"/>
        </w:rPr>
        <w:t>Although it is probable that this interpretation is preferable to a suggestion that the appeal court’s decision is inaccurate,</w:t>
      </w:r>
      <w:r w:rsidR="002B5239">
        <w:rPr>
          <w:rFonts w:ascii="Times New Roman" w:hAnsi="Times New Roman" w:cs="Times New Roman"/>
        </w:rPr>
        <w:t xml:space="preserve"> it is curious that the appeal court did not specify that its decision focused on concurrent interests in equity.</w:t>
      </w:r>
      <w:r w:rsidR="007A0792">
        <w:rPr>
          <w:rFonts w:ascii="Times New Roman" w:hAnsi="Times New Roman" w:cs="Times New Roman"/>
        </w:rPr>
        <w:t xml:space="preserve"> </w:t>
      </w:r>
      <w:r w:rsidR="00BF2019">
        <w:rPr>
          <w:rFonts w:ascii="Times New Roman" w:hAnsi="Times New Roman" w:cs="Times New Roman"/>
        </w:rPr>
        <w:t>See also page 571, note iv.</w:t>
      </w:r>
      <w:r w:rsidR="00305270">
        <w:rPr>
          <w:rFonts w:ascii="Times New Roman" w:hAnsi="Times New Roman" w:cs="Times New Roman"/>
          <w:b/>
        </w:rPr>
        <w:t xml:space="preserve"> </w:t>
      </w:r>
    </w:p>
    <w:sectPr w:rsidR="00B03C24" w:rsidRPr="00B03C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24"/>
    <w:rsid w:val="00033FFB"/>
    <w:rsid w:val="00061DF1"/>
    <w:rsid w:val="000A1DF7"/>
    <w:rsid w:val="000E2922"/>
    <w:rsid w:val="000F6A06"/>
    <w:rsid w:val="00103635"/>
    <w:rsid w:val="001F48FB"/>
    <w:rsid w:val="0023298E"/>
    <w:rsid w:val="00236481"/>
    <w:rsid w:val="00244FD0"/>
    <w:rsid w:val="002B5239"/>
    <w:rsid w:val="002B637D"/>
    <w:rsid w:val="0030082B"/>
    <w:rsid w:val="00305270"/>
    <w:rsid w:val="0033076F"/>
    <w:rsid w:val="00357C92"/>
    <w:rsid w:val="00362BB8"/>
    <w:rsid w:val="0044013D"/>
    <w:rsid w:val="004415C3"/>
    <w:rsid w:val="004B38B2"/>
    <w:rsid w:val="004C5AB2"/>
    <w:rsid w:val="00507C87"/>
    <w:rsid w:val="005668E3"/>
    <w:rsid w:val="005E3E91"/>
    <w:rsid w:val="006134EB"/>
    <w:rsid w:val="007230FB"/>
    <w:rsid w:val="007A0792"/>
    <w:rsid w:val="007A1616"/>
    <w:rsid w:val="007F1480"/>
    <w:rsid w:val="00827E84"/>
    <w:rsid w:val="008B0C6E"/>
    <w:rsid w:val="008D5EBE"/>
    <w:rsid w:val="009F14D7"/>
    <w:rsid w:val="00A31989"/>
    <w:rsid w:val="00A34EB5"/>
    <w:rsid w:val="00A57662"/>
    <w:rsid w:val="00A7477C"/>
    <w:rsid w:val="00B03C24"/>
    <w:rsid w:val="00B93379"/>
    <w:rsid w:val="00BF2019"/>
    <w:rsid w:val="00C427A5"/>
    <w:rsid w:val="00C767FE"/>
    <w:rsid w:val="00C974D8"/>
    <w:rsid w:val="00CB1036"/>
    <w:rsid w:val="00CD2F3C"/>
    <w:rsid w:val="00D6550C"/>
    <w:rsid w:val="00D703FB"/>
    <w:rsid w:val="00E03E06"/>
    <w:rsid w:val="00E627C0"/>
    <w:rsid w:val="00EE3672"/>
    <w:rsid w:val="00F07010"/>
    <w:rsid w:val="00F65682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E38D"/>
  <w15:chartTrackingRefBased/>
  <w15:docId w15:val="{D23C49AB-4A12-42E6-A378-268F4A65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6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Mossman</dc:creator>
  <cp:keywords/>
  <dc:description/>
  <cp:lastModifiedBy>Natalie Berchem</cp:lastModifiedBy>
  <cp:revision>34</cp:revision>
  <cp:lastPrinted>2019-08-27T18:59:00Z</cp:lastPrinted>
  <dcterms:created xsi:type="dcterms:W3CDTF">2019-08-27T16:35:00Z</dcterms:created>
  <dcterms:modified xsi:type="dcterms:W3CDTF">2019-09-09T16:06:00Z</dcterms:modified>
</cp:coreProperties>
</file>